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E9" w:rsidRPr="00AB2C6D" w:rsidRDefault="004026E9" w:rsidP="004026E9">
      <w:pPr>
        <w:spacing w:line="433" w:lineRule="exact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AB2C6D">
        <w:rPr>
          <w:rFonts w:ascii="標楷體" w:eastAsia="標楷體" w:hAnsi="標楷體" w:cs="標楷體"/>
          <w:color w:val="231F20"/>
          <w:spacing w:val="-24"/>
          <w:kern w:val="0"/>
          <w:sz w:val="32"/>
          <w:szCs w:val="32"/>
        </w:rPr>
        <w:t>「休閒農業研究」期刊稿</w:t>
      </w:r>
      <w:r w:rsidRPr="00AB2C6D">
        <w:rPr>
          <w:rFonts w:ascii="標楷體" w:eastAsia="標楷體" w:hAnsi="標楷體" w:cs="標楷體"/>
          <w:color w:val="231F20"/>
          <w:kern w:val="0"/>
          <w:sz w:val="32"/>
          <w:szCs w:val="32"/>
        </w:rPr>
        <w:t>約</w:t>
      </w:r>
    </w:p>
    <w:p w:rsidR="004026E9" w:rsidRDefault="004026E9" w:rsidP="004026E9">
      <w:pPr>
        <w:spacing w:before="36" w:line="248" w:lineRule="auto"/>
        <w:rPr>
          <w:rFonts w:ascii="細明體" w:eastAsia="細明體" w:hAnsi="細明體" w:cs="細明體"/>
          <w:color w:val="231F20"/>
          <w:kern w:val="0"/>
          <w:sz w:val="21"/>
          <w:szCs w:val="21"/>
        </w:rPr>
      </w:pP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一、出刊時間：本學報為學術刊物，</w:t>
      </w:r>
      <w:r w:rsidRPr="00AB2C6D">
        <w:rPr>
          <w:rFonts w:ascii="細明體" w:eastAsia="細明體" w:hAnsi="細明體" w:cs="細明體"/>
          <w:color w:val="231F20"/>
          <w:spacing w:val="-1"/>
          <w:kern w:val="0"/>
          <w:sz w:val="21"/>
          <w:szCs w:val="21"/>
        </w:rPr>
        <w:t xml:space="preserve"> 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每年</w:t>
      </w:r>
      <w:r w:rsidRPr="00AB2C6D">
        <w:rPr>
          <w:rFonts w:ascii="細明體" w:eastAsia="細明體" w:hAnsi="細明體" w:cs="細明體"/>
          <w:color w:val="231F20"/>
          <w:spacing w:val="-53"/>
          <w:kern w:val="0"/>
          <w:sz w:val="21"/>
          <w:szCs w:val="21"/>
        </w:rPr>
        <w:t xml:space="preserve"> </w:t>
      </w:r>
      <w:r w:rsidRPr="00AB2C6D">
        <w:rPr>
          <w:rFonts w:ascii="Times New Roman" w:eastAsia="Times New Roman" w:hAnsi="Times New Roman" w:cs="Times New Roman"/>
          <w:color w:val="231F20"/>
          <w:kern w:val="0"/>
          <w:sz w:val="21"/>
          <w:szCs w:val="21"/>
        </w:rPr>
        <w:t>6</w:t>
      </w:r>
      <w:r w:rsidRPr="00AB2C6D">
        <w:rPr>
          <w:rFonts w:ascii="Times New Roman" w:eastAsia="Times New Roman" w:hAnsi="Times New Roman" w:cs="Times New Roman"/>
          <w:color w:val="231F20"/>
          <w:spacing w:val="-1"/>
          <w:kern w:val="0"/>
          <w:sz w:val="21"/>
          <w:szCs w:val="21"/>
        </w:rPr>
        <w:t xml:space="preserve"> 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月及</w:t>
      </w:r>
      <w:r w:rsidRPr="00AB2C6D">
        <w:rPr>
          <w:rFonts w:ascii="細明體" w:eastAsia="細明體" w:hAnsi="細明體" w:cs="細明體"/>
          <w:color w:val="231F20"/>
          <w:spacing w:val="-53"/>
          <w:kern w:val="0"/>
          <w:sz w:val="21"/>
          <w:szCs w:val="21"/>
        </w:rPr>
        <w:t xml:space="preserve"> </w:t>
      </w:r>
      <w:r w:rsidRPr="00AB2C6D">
        <w:rPr>
          <w:rFonts w:ascii="Times New Roman" w:eastAsia="Times New Roman" w:hAnsi="Times New Roman" w:cs="Times New Roman"/>
          <w:color w:val="231F20"/>
          <w:spacing w:val="-1"/>
          <w:kern w:val="0"/>
          <w:sz w:val="21"/>
          <w:szCs w:val="21"/>
        </w:rPr>
        <w:t>1</w:t>
      </w:r>
      <w:r w:rsidRPr="00AB2C6D">
        <w:rPr>
          <w:rFonts w:ascii="Times New Roman" w:eastAsia="Times New Roman" w:hAnsi="Times New Roman" w:cs="Times New Roman"/>
          <w:color w:val="231F20"/>
          <w:kern w:val="0"/>
          <w:sz w:val="21"/>
          <w:szCs w:val="21"/>
        </w:rPr>
        <w:t>2</w:t>
      </w:r>
      <w:r w:rsidRPr="00AB2C6D">
        <w:rPr>
          <w:rFonts w:ascii="Times New Roman" w:eastAsia="Times New Roman" w:hAnsi="Times New Roman" w:cs="Times New Roman"/>
          <w:color w:val="231F20"/>
          <w:spacing w:val="-1"/>
          <w:kern w:val="0"/>
          <w:sz w:val="21"/>
          <w:szCs w:val="21"/>
        </w:rPr>
        <w:t xml:space="preserve"> 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 xml:space="preserve">月出版，一年二期，全年接受投稿。 </w:t>
      </w:r>
    </w:p>
    <w:p w:rsidR="004026E9" w:rsidRPr="00AB2C6D" w:rsidRDefault="004026E9" w:rsidP="004026E9">
      <w:pPr>
        <w:spacing w:before="36" w:line="248" w:lineRule="auto"/>
        <w:rPr>
          <w:rFonts w:ascii="細明體" w:eastAsia="細明體" w:hAnsi="細明體" w:cs="細明體"/>
          <w:kern w:val="0"/>
          <w:sz w:val="21"/>
          <w:szCs w:val="21"/>
        </w:rPr>
      </w:pP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二、稿件內容主題應為休閒農業相關之議題。</w:t>
      </w:r>
    </w:p>
    <w:p w:rsidR="004026E9" w:rsidRPr="00AB2C6D" w:rsidRDefault="004026E9" w:rsidP="004026E9">
      <w:pPr>
        <w:spacing w:before="6"/>
        <w:rPr>
          <w:rFonts w:ascii="細明體" w:eastAsia="細明體" w:hAnsi="細明體" w:cs="細明體"/>
          <w:kern w:val="0"/>
          <w:sz w:val="21"/>
          <w:szCs w:val="21"/>
        </w:rPr>
      </w:pP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三、稿件評審程序：</w:t>
      </w:r>
    </w:p>
    <w:p w:rsidR="004026E9" w:rsidRPr="00AB2C6D" w:rsidRDefault="004026E9" w:rsidP="004026E9">
      <w:pPr>
        <w:spacing w:before="14"/>
        <w:rPr>
          <w:rFonts w:ascii="細明體" w:eastAsia="細明體" w:hAnsi="細明體" w:cs="細明體"/>
          <w:kern w:val="0"/>
          <w:sz w:val="21"/>
          <w:szCs w:val="21"/>
        </w:rPr>
      </w:pPr>
      <w:r w:rsidRPr="00AB2C6D">
        <w:rPr>
          <w:rFonts w:ascii="Times New Roman" w:eastAsia="Times New Roman" w:hAnsi="Times New Roman" w:cs="Times New Roman"/>
          <w:color w:val="231F20"/>
          <w:kern w:val="0"/>
          <w:sz w:val="21"/>
          <w:szCs w:val="21"/>
        </w:rPr>
        <w:t>1</w:t>
      </w:r>
      <w:r w:rsidRPr="00AB2C6D">
        <w:rPr>
          <w:rFonts w:ascii="Times New Roman" w:eastAsia="Times New Roman" w:hAnsi="Times New Roman" w:cs="Times New Roman"/>
          <w:color w:val="231F20"/>
          <w:spacing w:val="-1"/>
          <w:kern w:val="0"/>
          <w:sz w:val="21"/>
          <w:szCs w:val="21"/>
        </w:rPr>
        <w:t>.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來稿之評審由編輯委員及相關研究領域之學者擔任。</w:t>
      </w:r>
    </w:p>
    <w:p w:rsidR="004026E9" w:rsidRPr="00AB2C6D" w:rsidRDefault="004026E9" w:rsidP="004026E9">
      <w:pPr>
        <w:spacing w:before="11"/>
        <w:rPr>
          <w:rFonts w:ascii="細明體" w:eastAsia="細明體" w:hAnsi="細明體" w:cs="細明體"/>
          <w:kern w:val="0"/>
          <w:sz w:val="21"/>
          <w:szCs w:val="21"/>
        </w:rPr>
      </w:pPr>
      <w:r w:rsidRPr="00AB2C6D">
        <w:rPr>
          <w:rFonts w:ascii="Times New Roman" w:eastAsia="Times New Roman" w:hAnsi="Times New Roman" w:cs="Times New Roman"/>
          <w:color w:val="231F20"/>
          <w:kern w:val="0"/>
          <w:sz w:val="21"/>
          <w:szCs w:val="21"/>
        </w:rPr>
        <w:t>2</w:t>
      </w:r>
      <w:r w:rsidRPr="00AB2C6D">
        <w:rPr>
          <w:rFonts w:ascii="Times New Roman" w:eastAsia="Times New Roman" w:hAnsi="Times New Roman" w:cs="Times New Roman"/>
          <w:color w:val="231F20"/>
          <w:spacing w:val="-1"/>
          <w:kern w:val="0"/>
          <w:sz w:val="21"/>
          <w:szCs w:val="21"/>
        </w:rPr>
        <w:t>.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評審委員之</w:t>
      </w:r>
      <w:proofErr w:type="gramStart"/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遴聘由</w:t>
      </w:r>
      <w:proofErr w:type="gramEnd"/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各領域之編輯委員決定之。</w:t>
      </w:r>
    </w:p>
    <w:p w:rsidR="004026E9" w:rsidRPr="00AB2C6D" w:rsidRDefault="004026E9" w:rsidP="004026E9">
      <w:pPr>
        <w:spacing w:before="10" w:line="247" w:lineRule="auto"/>
        <w:ind w:left="210" w:hanging="210"/>
        <w:rPr>
          <w:rFonts w:ascii="細明體" w:eastAsia="細明體" w:hAnsi="細明體" w:cs="細明體"/>
          <w:kern w:val="0"/>
          <w:sz w:val="21"/>
          <w:szCs w:val="21"/>
        </w:rPr>
      </w:pPr>
      <w:r w:rsidRPr="00AB2C6D">
        <w:rPr>
          <w:rFonts w:ascii="Times New Roman" w:eastAsia="Times New Roman" w:hAnsi="Times New Roman" w:cs="Times New Roman"/>
          <w:color w:val="231F20"/>
          <w:kern w:val="0"/>
          <w:sz w:val="21"/>
          <w:szCs w:val="21"/>
        </w:rPr>
        <w:t>3</w:t>
      </w:r>
      <w:r w:rsidRPr="00AB2C6D">
        <w:rPr>
          <w:rFonts w:ascii="Times New Roman" w:eastAsia="Times New Roman" w:hAnsi="Times New Roman" w:cs="Times New Roman"/>
          <w:color w:val="231F20"/>
          <w:spacing w:val="-1"/>
          <w:kern w:val="0"/>
          <w:sz w:val="21"/>
          <w:szCs w:val="21"/>
        </w:rPr>
        <w:t>.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每篇文稿至少由兩位專家學者評審，除了陳述審查意見之外，並於下述四項審查建議勾 選其一頁。</w:t>
      </w:r>
    </w:p>
    <w:p w:rsidR="004026E9" w:rsidRPr="00AB2C6D" w:rsidRDefault="004026E9" w:rsidP="004026E9">
      <w:pPr>
        <w:spacing w:before="3" w:line="248" w:lineRule="auto"/>
        <w:rPr>
          <w:rFonts w:ascii="細明體" w:eastAsia="細明體" w:hAnsi="細明體" w:cs="細明體"/>
          <w:kern w:val="0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kern w:val="0"/>
          <w:sz w:val="21"/>
          <w:szCs w:val="21"/>
        </w:rPr>
        <w:t>(</w:t>
      </w:r>
      <w:r>
        <w:rPr>
          <w:rFonts w:asciiTheme="minorEastAsia" w:hAnsiTheme="minorEastAsia" w:cs="Times New Roman" w:hint="eastAsia"/>
          <w:color w:val="231F20"/>
          <w:kern w:val="0"/>
          <w:sz w:val="21"/>
          <w:szCs w:val="21"/>
        </w:rPr>
        <w:t>1</w:t>
      </w:r>
      <w:r w:rsidRPr="00AB2C6D">
        <w:rPr>
          <w:rFonts w:ascii="Times New Roman" w:eastAsia="Times New Roman" w:hAnsi="Times New Roman" w:cs="Times New Roman"/>
          <w:color w:val="231F20"/>
          <w:kern w:val="0"/>
          <w:sz w:val="21"/>
          <w:szCs w:val="21"/>
        </w:rPr>
        <w:t>)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接受。</w:t>
      </w:r>
    </w:p>
    <w:p w:rsidR="004026E9" w:rsidRPr="00AB2C6D" w:rsidRDefault="004026E9" w:rsidP="004026E9">
      <w:pPr>
        <w:spacing w:before="3" w:line="248" w:lineRule="auto"/>
        <w:rPr>
          <w:rFonts w:ascii="細明體" w:eastAsia="細明體" w:hAnsi="細明體" w:cs="細明體"/>
          <w:kern w:val="0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kern w:val="0"/>
          <w:sz w:val="21"/>
          <w:szCs w:val="21"/>
        </w:rPr>
        <w:t>(</w:t>
      </w:r>
      <w:r>
        <w:rPr>
          <w:rFonts w:asciiTheme="minorEastAsia" w:hAnsiTheme="minorEastAsia" w:cs="Times New Roman" w:hint="eastAsia"/>
          <w:color w:val="231F20"/>
          <w:kern w:val="0"/>
          <w:sz w:val="21"/>
          <w:szCs w:val="21"/>
        </w:rPr>
        <w:t>2</w:t>
      </w:r>
      <w:r w:rsidRPr="00AB2C6D">
        <w:rPr>
          <w:rFonts w:ascii="Times New Roman" w:eastAsia="Times New Roman" w:hAnsi="Times New Roman" w:cs="Times New Roman"/>
          <w:color w:val="231F20"/>
          <w:kern w:val="0"/>
          <w:sz w:val="21"/>
          <w:szCs w:val="21"/>
        </w:rPr>
        <w:t>)</w:t>
      </w:r>
      <w:r>
        <w:rPr>
          <w:rFonts w:ascii="細明體" w:eastAsia="細明體" w:hAnsi="細明體" w:cs="細明體" w:hint="eastAsia"/>
          <w:color w:val="231F20"/>
          <w:kern w:val="0"/>
          <w:sz w:val="21"/>
          <w:szCs w:val="21"/>
        </w:rPr>
        <w:t>修正後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接受。</w:t>
      </w:r>
    </w:p>
    <w:p w:rsidR="004026E9" w:rsidRPr="00AB2C6D" w:rsidRDefault="004026E9" w:rsidP="004026E9">
      <w:pPr>
        <w:spacing w:before="3" w:line="247" w:lineRule="auto"/>
        <w:rPr>
          <w:rFonts w:ascii="細明體" w:eastAsia="細明體" w:hAnsi="細明體" w:cs="細明體"/>
          <w:color w:val="231F20"/>
          <w:kern w:val="0"/>
          <w:sz w:val="21"/>
          <w:szCs w:val="21"/>
        </w:rPr>
      </w:pPr>
      <w:r w:rsidRPr="00AB2C6D">
        <w:rPr>
          <w:rFonts w:ascii="Times New Roman" w:eastAsia="Times New Roman" w:hAnsi="Times New Roman" w:cs="Times New Roman"/>
          <w:color w:val="231F20"/>
          <w:kern w:val="0"/>
          <w:sz w:val="21"/>
          <w:szCs w:val="21"/>
        </w:rPr>
        <w:t>(3)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修正後再</w:t>
      </w:r>
      <w:r w:rsidRPr="00AB2C6D">
        <w:rPr>
          <w:rFonts w:ascii="細明體" w:eastAsia="細明體" w:hAnsi="細明體" w:cs="細明體"/>
          <w:color w:val="231F20"/>
          <w:spacing w:val="1"/>
          <w:kern w:val="0"/>
          <w:sz w:val="21"/>
          <w:szCs w:val="21"/>
        </w:rPr>
        <w:t>審</w:t>
      </w:r>
      <w:r w:rsidRPr="00AB2C6D">
        <w:rPr>
          <w:rFonts w:ascii="Times New Roman" w:eastAsia="Times New Roman" w:hAnsi="Times New Roman" w:cs="Times New Roman"/>
          <w:color w:val="231F20"/>
          <w:spacing w:val="-2"/>
          <w:kern w:val="0"/>
          <w:sz w:val="21"/>
          <w:szCs w:val="21"/>
        </w:rPr>
        <w:t>(</w:t>
      </w:r>
      <w:r>
        <w:rPr>
          <w:rFonts w:ascii="細明體" w:eastAsia="細明體" w:hAnsi="細明體" w:cs="細明體"/>
          <w:color w:val="231F20"/>
          <w:kern w:val="0"/>
          <w:sz w:val="21"/>
          <w:szCs w:val="21"/>
        </w:rPr>
        <w:t>送交原審查人或學報</w:t>
      </w:r>
      <w:r>
        <w:rPr>
          <w:rFonts w:ascii="細明體" w:eastAsia="細明體" w:hAnsi="細明體" w:cs="細明體" w:hint="eastAsia"/>
          <w:color w:val="231F20"/>
          <w:kern w:val="0"/>
          <w:sz w:val="21"/>
          <w:szCs w:val="21"/>
        </w:rPr>
        <w:t>主</w:t>
      </w:r>
      <w:r w:rsidRPr="00AB2C6D">
        <w:rPr>
          <w:rFonts w:ascii="細明體" w:eastAsia="細明體" w:hAnsi="細明體" w:cs="細明體"/>
          <w:color w:val="231F20"/>
          <w:spacing w:val="1"/>
          <w:kern w:val="0"/>
          <w:sz w:val="21"/>
          <w:szCs w:val="21"/>
        </w:rPr>
        <w:t>編</w:t>
      </w:r>
      <w:r w:rsidRPr="00AB2C6D">
        <w:rPr>
          <w:rFonts w:ascii="Times New Roman" w:eastAsia="Times New Roman" w:hAnsi="Times New Roman" w:cs="Times New Roman"/>
          <w:color w:val="231F20"/>
          <w:spacing w:val="-2"/>
          <w:kern w:val="0"/>
          <w:sz w:val="21"/>
          <w:szCs w:val="21"/>
        </w:rPr>
        <w:t>)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 xml:space="preserve">。 </w:t>
      </w:r>
    </w:p>
    <w:p w:rsidR="004026E9" w:rsidRPr="00AB2C6D" w:rsidRDefault="004026E9" w:rsidP="004026E9">
      <w:pPr>
        <w:spacing w:before="3" w:line="248" w:lineRule="auto"/>
        <w:rPr>
          <w:rFonts w:ascii="細明體" w:eastAsia="細明體" w:hAnsi="細明體" w:cs="細明體"/>
          <w:kern w:val="0"/>
          <w:sz w:val="21"/>
          <w:szCs w:val="21"/>
        </w:rPr>
      </w:pPr>
      <w:r w:rsidRPr="00AB2C6D">
        <w:rPr>
          <w:rFonts w:ascii="Times New Roman" w:eastAsia="Times New Roman" w:hAnsi="Times New Roman" w:cs="Times New Roman"/>
          <w:color w:val="231F20"/>
          <w:kern w:val="0"/>
          <w:sz w:val="21"/>
          <w:szCs w:val="21"/>
        </w:rPr>
        <w:t>(4)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不宜接受。</w:t>
      </w:r>
    </w:p>
    <w:p w:rsidR="004026E9" w:rsidRPr="00AB2C6D" w:rsidRDefault="004026E9" w:rsidP="004026E9">
      <w:pPr>
        <w:spacing w:before="2"/>
        <w:rPr>
          <w:rFonts w:ascii="細明體" w:eastAsia="細明體" w:hAnsi="細明體" w:cs="細明體"/>
          <w:kern w:val="0"/>
          <w:sz w:val="21"/>
          <w:szCs w:val="21"/>
        </w:rPr>
      </w:pPr>
      <w:r w:rsidRPr="00AB2C6D">
        <w:rPr>
          <w:rFonts w:ascii="Times New Roman" w:eastAsia="Times New Roman" w:hAnsi="Times New Roman" w:cs="Times New Roman"/>
          <w:color w:val="231F20"/>
          <w:kern w:val="0"/>
          <w:sz w:val="21"/>
          <w:szCs w:val="21"/>
        </w:rPr>
        <w:t>4</w:t>
      </w:r>
      <w:r w:rsidRPr="00AB2C6D">
        <w:rPr>
          <w:rFonts w:ascii="Times New Roman" w:eastAsia="Times New Roman" w:hAnsi="Times New Roman" w:cs="Times New Roman"/>
          <w:color w:val="231F20"/>
          <w:spacing w:val="-1"/>
          <w:kern w:val="0"/>
          <w:sz w:val="21"/>
          <w:szCs w:val="21"/>
        </w:rPr>
        <w:t>.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針對審查意見之處理方式：</w:t>
      </w:r>
    </w:p>
    <w:p w:rsidR="004026E9" w:rsidRPr="00AB2C6D" w:rsidRDefault="004026E9" w:rsidP="004026E9">
      <w:pPr>
        <w:spacing w:line="150" w:lineRule="exact"/>
        <w:rPr>
          <w:kern w:val="0"/>
          <w:sz w:val="15"/>
          <w:szCs w:val="15"/>
        </w:rPr>
      </w:pPr>
    </w:p>
    <w:tbl>
      <w:tblPr>
        <w:tblStyle w:val="TableNormal"/>
        <w:tblW w:w="0" w:type="auto"/>
        <w:tblInd w:w="-4" w:type="dxa"/>
        <w:tblLayout w:type="fixed"/>
        <w:tblLook w:val="01E0" w:firstRow="1" w:lastRow="1" w:firstColumn="1" w:lastColumn="1" w:noHBand="0" w:noVBand="0"/>
      </w:tblPr>
      <w:tblGrid>
        <w:gridCol w:w="396"/>
        <w:gridCol w:w="1300"/>
        <w:gridCol w:w="1576"/>
        <w:gridCol w:w="1578"/>
        <w:gridCol w:w="1577"/>
        <w:gridCol w:w="1568"/>
      </w:tblGrid>
      <w:tr w:rsidR="004026E9" w:rsidRPr="00AB2C6D" w:rsidTr="0046182B">
        <w:trPr>
          <w:trHeight w:hRule="exact" w:val="431"/>
        </w:trPr>
        <w:tc>
          <w:tcPr>
            <w:tcW w:w="1696" w:type="dxa"/>
            <w:gridSpan w:val="2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8" w:line="220" w:lineRule="exact"/>
              <w:rPr>
                <w:lang w:eastAsia="zh-TW"/>
              </w:rPr>
            </w:pPr>
          </w:p>
          <w:p w:rsidR="004026E9" w:rsidRPr="00AB2C6D" w:rsidRDefault="004026E9" w:rsidP="0046182B">
            <w:pPr>
              <w:rPr>
                <w:rFonts w:ascii="細明體" w:eastAsia="細明體" w:hAnsi="細明體" w:cs="細明體"/>
                <w:sz w:val="21"/>
                <w:szCs w:val="21"/>
              </w:rPr>
            </w:pP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處理方式</w:t>
            </w:r>
            <w:proofErr w:type="spellEnd"/>
          </w:p>
        </w:tc>
        <w:tc>
          <w:tcPr>
            <w:tcW w:w="6299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12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第二位評審意見</w:t>
            </w:r>
            <w:proofErr w:type="spellEnd"/>
          </w:p>
        </w:tc>
      </w:tr>
      <w:tr w:rsidR="004026E9" w:rsidRPr="00AB2C6D" w:rsidTr="0046182B">
        <w:trPr>
          <w:trHeight w:hRule="exact" w:val="430"/>
        </w:trPr>
        <w:tc>
          <w:tcPr>
            <w:tcW w:w="1696" w:type="dxa"/>
            <w:gridSpan w:val="2"/>
            <w:vMerge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/>
        </w:tc>
        <w:tc>
          <w:tcPr>
            <w:tcW w:w="157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11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接受</w:t>
            </w:r>
            <w:proofErr w:type="spellEnd"/>
          </w:p>
        </w:tc>
        <w:tc>
          <w:tcPr>
            <w:tcW w:w="157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11"/>
              <w:rPr>
                <w:rFonts w:ascii="細明體" w:eastAsia="細明體" w:hAnsi="細明體" w:cs="細明體"/>
                <w:sz w:val="21"/>
                <w:szCs w:val="21"/>
              </w:rPr>
            </w:pP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修正後接受</w:t>
            </w:r>
            <w:proofErr w:type="spellEnd"/>
          </w:p>
        </w:tc>
        <w:tc>
          <w:tcPr>
            <w:tcW w:w="157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11"/>
              <w:rPr>
                <w:rFonts w:ascii="細明體" w:eastAsia="細明體" w:hAnsi="細明體" w:cs="細明體"/>
                <w:sz w:val="21"/>
                <w:szCs w:val="21"/>
              </w:rPr>
            </w:pP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修正後再審</w:t>
            </w:r>
            <w:proofErr w:type="spellEnd"/>
          </w:p>
        </w:tc>
        <w:tc>
          <w:tcPr>
            <w:tcW w:w="15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11"/>
              <w:rPr>
                <w:rFonts w:ascii="細明體" w:eastAsia="細明體" w:hAnsi="細明體" w:cs="細明體"/>
                <w:sz w:val="21"/>
                <w:szCs w:val="21"/>
              </w:rPr>
            </w:pP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不宜接受</w:t>
            </w:r>
            <w:proofErr w:type="spellEnd"/>
          </w:p>
        </w:tc>
      </w:tr>
      <w:tr w:rsidR="004026E9" w:rsidRPr="00AB2C6D" w:rsidTr="0046182B">
        <w:trPr>
          <w:trHeight w:hRule="exact" w:val="758"/>
        </w:trPr>
        <w:tc>
          <w:tcPr>
            <w:tcW w:w="396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9" w:line="140" w:lineRule="exact"/>
              <w:rPr>
                <w:sz w:val="14"/>
                <w:szCs w:val="14"/>
              </w:rPr>
            </w:pPr>
          </w:p>
          <w:p w:rsidR="004026E9" w:rsidRPr="00AB2C6D" w:rsidRDefault="004026E9" w:rsidP="0046182B">
            <w:pPr>
              <w:spacing w:line="200" w:lineRule="exact"/>
              <w:rPr>
                <w:sz w:val="20"/>
                <w:szCs w:val="20"/>
              </w:rPr>
            </w:pPr>
          </w:p>
          <w:p w:rsidR="004026E9" w:rsidRPr="00AB2C6D" w:rsidRDefault="004026E9" w:rsidP="0046182B">
            <w:pPr>
              <w:spacing w:line="206" w:lineRule="auto"/>
              <w:jc w:val="both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第 一 位 評 審 意 見</w:t>
            </w:r>
          </w:p>
        </w:tc>
        <w:tc>
          <w:tcPr>
            <w:tcW w:w="13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6" w:line="170" w:lineRule="exact"/>
              <w:rPr>
                <w:sz w:val="17"/>
                <w:szCs w:val="17"/>
              </w:rPr>
            </w:pPr>
          </w:p>
          <w:p w:rsidR="004026E9" w:rsidRPr="00AB2C6D" w:rsidRDefault="004026E9" w:rsidP="0046182B">
            <w:pPr>
              <w:rPr>
                <w:rFonts w:ascii="細明體" w:eastAsia="細明體" w:hAnsi="細明體" w:cs="細明體"/>
                <w:sz w:val="21"/>
                <w:szCs w:val="21"/>
              </w:rPr>
            </w:pPr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接</w:t>
            </w:r>
            <w:r w:rsidRPr="00AB2C6D">
              <w:rPr>
                <w:rFonts w:ascii="細明體" w:eastAsia="細明體" w:hAnsi="細明體" w:cs="細明體"/>
                <w:color w:val="231F20"/>
                <w:spacing w:val="-1"/>
                <w:sz w:val="21"/>
                <w:szCs w:val="21"/>
              </w:rPr>
              <w:t xml:space="preserve"> </w:t>
            </w:r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受</w:t>
            </w:r>
          </w:p>
        </w:tc>
        <w:tc>
          <w:tcPr>
            <w:tcW w:w="157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6" w:line="170" w:lineRule="exact"/>
              <w:rPr>
                <w:sz w:val="17"/>
                <w:szCs w:val="17"/>
              </w:rPr>
            </w:pPr>
          </w:p>
          <w:p w:rsidR="004026E9" w:rsidRPr="00AB2C6D" w:rsidRDefault="004026E9" w:rsidP="0046182B">
            <w:pPr>
              <w:rPr>
                <w:rFonts w:ascii="細明體" w:eastAsia="細明體" w:hAnsi="細明體" w:cs="細明體"/>
                <w:sz w:val="21"/>
                <w:szCs w:val="21"/>
              </w:rPr>
            </w:pPr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刊</w:t>
            </w:r>
            <w:r w:rsidRPr="00AB2C6D">
              <w:rPr>
                <w:rFonts w:ascii="細明體" w:eastAsia="細明體" w:hAnsi="細明體" w:cs="細明體"/>
                <w:color w:val="231F20"/>
                <w:spacing w:val="-1"/>
                <w:sz w:val="21"/>
                <w:szCs w:val="21"/>
              </w:rPr>
              <w:t xml:space="preserve"> </w:t>
            </w:r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登</w:t>
            </w:r>
          </w:p>
        </w:tc>
        <w:tc>
          <w:tcPr>
            <w:tcW w:w="157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6" w:line="170" w:lineRule="exact"/>
              <w:rPr>
                <w:sz w:val="17"/>
                <w:szCs w:val="17"/>
              </w:rPr>
            </w:pPr>
          </w:p>
          <w:p w:rsidR="004026E9" w:rsidRPr="00AB2C6D" w:rsidRDefault="004026E9" w:rsidP="0046182B">
            <w:pPr>
              <w:rPr>
                <w:rFonts w:ascii="細明體" w:eastAsia="細明體" w:hAnsi="細明體" w:cs="細明體"/>
                <w:sz w:val="21"/>
                <w:szCs w:val="21"/>
              </w:rPr>
            </w:pP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寄回修改</w:t>
            </w:r>
            <w:proofErr w:type="spellEnd"/>
          </w:p>
        </w:tc>
        <w:tc>
          <w:tcPr>
            <w:tcW w:w="157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12" w:line="241" w:lineRule="auto"/>
              <w:rPr>
                <w:rFonts w:ascii="細明體" w:eastAsia="細明體" w:hAnsi="細明體" w:cs="細明體"/>
                <w:sz w:val="21"/>
                <w:szCs w:val="21"/>
              </w:rPr>
            </w:pP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寄回修改</w:t>
            </w:r>
            <w:proofErr w:type="spellEnd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 xml:space="preserve"> </w:t>
            </w: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再行複審</w:t>
            </w:r>
            <w:proofErr w:type="spellEnd"/>
          </w:p>
        </w:tc>
        <w:tc>
          <w:tcPr>
            <w:tcW w:w="15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6" w:line="170" w:lineRule="exact"/>
              <w:rPr>
                <w:sz w:val="17"/>
                <w:szCs w:val="17"/>
              </w:rPr>
            </w:pPr>
          </w:p>
          <w:p w:rsidR="004026E9" w:rsidRPr="00AB2C6D" w:rsidRDefault="004026E9" w:rsidP="0046182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第三位評審</w:t>
            </w:r>
            <w:proofErr w:type="spellEnd"/>
            <w:r w:rsidRPr="00AB2C6D"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*</w:t>
            </w:r>
          </w:p>
        </w:tc>
      </w:tr>
      <w:tr w:rsidR="004026E9" w:rsidRPr="00AB2C6D" w:rsidTr="0046182B">
        <w:trPr>
          <w:trHeight w:hRule="exact" w:val="757"/>
        </w:trPr>
        <w:tc>
          <w:tcPr>
            <w:tcW w:w="396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/>
        </w:tc>
        <w:tc>
          <w:tcPr>
            <w:tcW w:w="13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6" w:line="170" w:lineRule="exact"/>
              <w:rPr>
                <w:sz w:val="17"/>
                <w:szCs w:val="17"/>
              </w:rPr>
            </w:pPr>
          </w:p>
          <w:p w:rsidR="004026E9" w:rsidRPr="00AB2C6D" w:rsidRDefault="004026E9" w:rsidP="0046182B">
            <w:pPr>
              <w:rPr>
                <w:rFonts w:ascii="細明體" w:eastAsia="細明體" w:hAnsi="細明體" w:cs="細明體"/>
                <w:sz w:val="21"/>
                <w:szCs w:val="21"/>
              </w:rPr>
            </w:pP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修正後接受</w:t>
            </w:r>
            <w:proofErr w:type="spellEnd"/>
          </w:p>
        </w:tc>
        <w:tc>
          <w:tcPr>
            <w:tcW w:w="157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6" w:line="170" w:lineRule="exact"/>
              <w:rPr>
                <w:sz w:val="17"/>
                <w:szCs w:val="17"/>
              </w:rPr>
            </w:pPr>
          </w:p>
          <w:p w:rsidR="004026E9" w:rsidRPr="00AB2C6D" w:rsidRDefault="004026E9" w:rsidP="0046182B">
            <w:pPr>
              <w:rPr>
                <w:rFonts w:ascii="細明體" w:eastAsia="細明體" w:hAnsi="細明體" w:cs="細明體"/>
                <w:sz w:val="21"/>
                <w:szCs w:val="21"/>
              </w:rPr>
            </w:pP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寄回修改</w:t>
            </w:r>
            <w:proofErr w:type="spellEnd"/>
          </w:p>
        </w:tc>
        <w:tc>
          <w:tcPr>
            <w:tcW w:w="157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6" w:line="170" w:lineRule="exact"/>
              <w:rPr>
                <w:sz w:val="17"/>
                <w:szCs w:val="17"/>
              </w:rPr>
            </w:pPr>
          </w:p>
          <w:p w:rsidR="004026E9" w:rsidRPr="00AB2C6D" w:rsidRDefault="004026E9" w:rsidP="0046182B">
            <w:pPr>
              <w:rPr>
                <w:rFonts w:ascii="細明體" w:eastAsia="細明體" w:hAnsi="細明體" w:cs="細明體"/>
                <w:sz w:val="21"/>
                <w:szCs w:val="21"/>
              </w:rPr>
            </w:pP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寄回修改</w:t>
            </w:r>
            <w:proofErr w:type="spellEnd"/>
          </w:p>
        </w:tc>
        <w:tc>
          <w:tcPr>
            <w:tcW w:w="157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11" w:line="242" w:lineRule="auto"/>
              <w:rPr>
                <w:rFonts w:ascii="細明體" w:eastAsia="細明體" w:hAnsi="細明體" w:cs="細明體"/>
                <w:sz w:val="21"/>
                <w:szCs w:val="21"/>
              </w:rPr>
            </w:pP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寄回修改</w:t>
            </w:r>
            <w:proofErr w:type="spellEnd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 xml:space="preserve"> </w:t>
            </w: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再行複審</w:t>
            </w:r>
            <w:proofErr w:type="spellEnd"/>
          </w:p>
        </w:tc>
        <w:tc>
          <w:tcPr>
            <w:tcW w:w="15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6" w:line="170" w:lineRule="exact"/>
              <w:rPr>
                <w:sz w:val="17"/>
                <w:szCs w:val="17"/>
              </w:rPr>
            </w:pPr>
          </w:p>
          <w:p w:rsidR="004026E9" w:rsidRPr="00AB2C6D" w:rsidRDefault="004026E9" w:rsidP="0046182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第三位評審</w:t>
            </w:r>
            <w:proofErr w:type="spellEnd"/>
            <w:r w:rsidRPr="00AB2C6D"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*</w:t>
            </w:r>
          </w:p>
        </w:tc>
      </w:tr>
      <w:tr w:rsidR="004026E9" w:rsidRPr="00AB2C6D" w:rsidTr="0046182B">
        <w:trPr>
          <w:trHeight w:hRule="exact" w:val="758"/>
        </w:trPr>
        <w:tc>
          <w:tcPr>
            <w:tcW w:w="396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/>
        </w:tc>
        <w:tc>
          <w:tcPr>
            <w:tcW w:w="13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7" w:line="170" w:lineRule="exact"/>
              <w:rPr>
                <w:sz w:val="17"/>
                <w:szCs w:val="17"/>
              </w:rPr>
            </w:pPr>
          </w:p>
          <w:p w:rsidR="004026E9" w:rsidRPr="00AB2C6D" w:rsidRDefault="004026E9" w:rsidP="0046182B">
            <w:pPr>
              <w:rPr>
                <w:rFonts w:ascii="細明體" w:eastAsia="細明體" w:hAnsi="細明體" w:cs="細明體"/>
                <w:sz w:val="21"/>
                <w:szCs w:val="21"/>
              </w:rPr>
            </w:pP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修正後再審</w:t>
            </w:r>
            <w:proofErr w:type="spellEnd"/>
          </w:p>
        </w:tc>
        <w:tc>
          <w:tcPr>
            <w:tcW w:w="157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12" w:line="241" w:lineRule="auto"/>
              <w:rPr>
                <w:rFonts w:ascii="細明體" w:eastAsia="細明體" w:hAnsi="細明體" w:cs="細明體"/>
                <w:sz w:val="21"/>
                <w:szCs w:val="21"/>
              </w:rPr>
            </w:pP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寄回修改</w:t>
            </w:r>
            <w:proofErr w:type="spellEnd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 xml:space="preserve"> </w:t>
            </w: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再行複審</w:t>
            </w:r>
            <w:proofErr w:type="spellEnd"/>
          </w:p>
        </w:tc>
        <w:tc>
          <w:tcPr>
            <w:tcW w:w="157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12" w:line="241" w:lineRule="auto"/>
              <w:rPr>
                <w:rFonts w:ascii="細明體" w:eastAsia="細明體" w:hAnsi="細明體" w:cs="細明體"/>
                <w:sz w:val="21"/>
                <w:szCs w:val="21"/>
              </w:rPr>
            </w:pP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寄回修改</w:t>
            </w:r>
            <w:proofErr w:type="spellEnd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 xml:space="preserve"> </w:t>
            </w: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再行複審</w:t>
            </w:r>
            <w:proofErr w:type="spellEnd"/>
          </w:p>
        </w:tc>
        <w:tc>
          <w:tcPr>
            <w:tcW w:w="157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7" w:line="170" w:lineRule="exact"/>
              <w:rPr>
                <w:sz w:val="17"/>
                <w:szCs w:val="17"/>
              </w:rPr>
            </w:pPr>
          </w:p>
          <w:p w:rsidR="004026E9" w:rsidRPr="00AB2C6D" w:rsidRDefault="004026E9" w:rsidP="0046182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第三位評審</w:t>
            </w:r>
            <w:proofErr w:type="spellEnd"/>
            <w:r w:rsidRPr="00AB2C6D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1"/>
                <w:szCs w:val="21"/>
              </w:rPr>
              <w:t>*</w:t>
            </w:r>
            <w:r w:rsidRPr="00AB2C6D"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*</w:t>
            </w:r>
          </w:p>
        </w:tc>
        <w:tc>
          <w:tcPr>
            <w:tcW w:w="15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7" w:line="170" w:lineRule="exact"/>
              <w:rPr>
                <w:sz w:val="17"/>
                <w:szCs w:val="17"/>
              </w:rPr>
            </w:pPr>
          </w:p>
          <w:p w:rsidR="004026E9" w:rsidRPr="00AB2C6D" w:rsidRDefault="004026E9" w:rsidP="0046182B">
            <w:pPr>
              <w:rPr>
                <w:rFonts w:ascii="細明體" w:eastAsia="細明體" w:hAnsi="細明體" w:cs="細明體"/>
                <w:sz w:val="21"/>
                <w:szCs w:val="21"/>
              </w:rPr>
            </w:pPr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退</w:t>
            </w:r>
            <w:r w:rsidRPr="00AB2C6D">
              <w:rPr>
                <w:rFonts w:ascii="細明體" w:eastAsia="細明體" w:hAnsi="細明體" w:cs="細明體"/>
                <w:color w:val="231F20"/>
                <w:spacing w:val="-1"/>
                <w:sz w:val="21"/>
                <w:szCs w:val="21"/>
              </w:rPr>
              <w:t xml:space="preserve"> </w:t>
            </w:r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稿</w:t>
            </w:r>
          </w:p>
        </w:tc>
      </w:tr>
      <w:tr w:rsidR="004026E9" w:rsidRPr="00AB2C6D" w:rsidTr="0046182B">
        <w:trPr>
          <w:trHeight w:hRule="exact" w:val="692"/>
        </w:trPr>
        <w:tc>
          <w:tcPr>
            <w:tcW w:w="396" w:type="dxa"/>
            <w:vMerge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/>
        </w:tc>
        <w:tc>
          <w:tcPr>
            <w:tcW w:w="13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13"/>
              <w:rPr>
                <w:rFonts w:ascii="細明體" w:eastAsia="細明體" w:hAnsi="細明體" w:cs="細明體"/>
                <w:sz w:val="21"/>
                <w:szCs w:val="21"/>
              </w:rPr>
            </w:pP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不宜接受</w:t>
            </w:r>
            <w:proofErr w:type="spellEnd"/>
          </w:p>
        </w:tc>
        <w:tc>
          <w:tcPr>
            <w:tcW w:w="157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第三位評審</w:t>
            </w:r>
            <w:proofErr w:type="spellEnd"/>
            <w:r w:rsidRPr="00AB2C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*</w:t>
            </w:r>
          </w:p>
        </w:tc>
        <w:tc>
          <w:tcPr>
            <w:tcW w:w="157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第三位評審</w:t>
            </w:r>
            <w:proofErr w:type="spellEnd"/>
            <w:r w:rsidRPr="00AB2C6D"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*</w:t>
            </w:r>
          </w:p>
        </w:tc>
        <w:tc>
          <w:tcPr>
            <w:tcW w:w="157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13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退</w:t>
            </w:r>
            <w:r w:rsidRPr="00AB2C6D">
              <w:rPr>
                <w:rFonts w:ascii="細明體" w:eastAsia="細明體" w:hAnsi="細明體" w:cs="細明體"/>
                <w:color w:val="231F20"/>
                <w:spacing w:val="-1"/>
                <w:sz w:val="21"/>
                <w:szCs w:val="21"/>
              </w:rPr>
              <w:t xml:space="preserve"> </w:t>
            </w:r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稿</w:t>
            </w:r>
          </w:p>
        </w:tc>
        <w:tc>
          <w:tcPr>
            <w:tcW w:w="15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4026E9" w:rsidRPr="00AB2C6D" w:rsidRDefault="004026E9" w:rsidP="0046182B">
            <w:pPr>
              <w:spacing w:before="13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退</w:t>
            </w:r>
            <w:r w:rsidRPr="00AB2C6D">
              <w:rPr>
                <w:rFonts w:ascii="細明體" w:eastAsia="細明體" w:hAnsi="細明體" w:cs="細明體"/>
                <w:color w:val="231F20"/>
                <w:spacing w:val="-1"/>
                <w:sz w:val="21"/>
                <w:szCs w:val="21"/>
              </w:rPr>
              <w:t xml:space="preserve"> </w:t>
            </w:r>
            <w:r w:rsidRPr="00AB2C6D">
              <w:rPr>
                <w:rFonts w:ascii="細明體" w:eastAsia="細明體" w:hAnsi="細明體" w:cs="細明體"/>
                <w:color w:val="231F20"/>
                <w:sz w:val="21"/>
                <w:szCs w:val="21"/>
              </w:rPr>
              <w:t>稿</w:t>
            </w:r>
          </w:p>
        </w:tc>
      </w:tr>
    </w:tbl>
    <w:p w:rsidR="004026E9" w:rsidRPr="00AB2C6D" w:rsidRDefault="004026E9" w:rsidP="004026E9">
      <w:pPr>
        <w:spacing w:before="3" w:line="130" w:lineRule="exact"/>
        <w:rPr>
          <w:kern w:val="0"/>
          <w:sz w:val="13"/>
          <w:szCs w:val="13"/>
          <w:lang w:eastAsia="en-US"/>
        </w:rPr>
      </w:pPr>
    </w:p>
    <w:p w:rsidR="004026E9" w:rsidRPr="00AB2C6D" w:rsidRDefault="004026E9" w:rsidP="004026E9">
      <w:pPr>
        <w:spacing w:line="314" w:lineRule="exact"/>
        <w:rPr>
          <w:rFonts w:ascii="細明體" w:eastAsia="細明體" w:hAnsi="細明體" w:cs="細明體"/>
          <w:kern w:val="0"/>
          <w:sz w:val="21"/>
          <w:szCs w:val="21"/>
        </w:rPr>
      </w:pPr>
      <w:r w:rsidRPr="00AB2C6D">
        <w:rPr>
          <w:rFonts w:ascii="Times New Roman" w:eastAsia="Times New Roman" w:hAnsi="Times New Roman" w:cs="Times New Roman"/>
          <w:color w:val="231F20"/>
          <w:kern w:val="0"/>
          <w:sz w:val="21"/>
          <w:szCs w:val="21"/>
        </w:rPr>
        <w:t xml:space="preserve">*  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關於第三位評審之意</w:t>
      </w:r>
      <w:r w:rsidRPr="00AB2C6D">
        <w:rPr>
          <w:rFonts w:ascii="細明體" w:eastAsia="細明體" w:hAnsi="細明體" w:cs="細明體"/>
          <w:color w:val="231F20"/>
          <w:spacing w:val="-4"/>
          <w:kern w:val="0"/>
          <w:sz w:val="21"/>
          <w:szCs w:val="21"/>
        </w:rPr>
        <w:t>見，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如</w:t>
      </w:r>
      <w:r w:rsidRPr="00AB2C6D">
        <w:rPr>
          <w:rFonts w:ascii="細明體" w:eastAsia="細明體" w:hAnsi="細明體" w:cs="細明體"/>
          <w:color w:val="231F20"/>
          <w:spacing w:val="-9"/>
          <w:kern w:val="0"/>
          <w:sz w:val="21"/>
          <w:szCs w:val="21"/>
        </w:rPr>
        <w:t>為</w:t>
      </w:r>
      <w:r w:rsidRPr="00AB2C6D">
        <w:rPr>
          <w:rFonts w:ascii="細明體" w:eastAsia="細明體" w:hAnsi="細明體" w:cs="細明體"/>
          <w:color w:val="231F20"/>
          <w:spacing w:val="-2"/>
          <w:kern w:val="0"/>
          <w:sz w:val="21"/>
          <w:szCs w:val="21"/>
        </w:rPr>
        <w:t>「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接受</w:t>
      </w:r>
      <w:r w:rsidRPr="00AB2C6D">
        <w:rPr>
          <w:rFonts w:ascii="細明體" w:eastAsia="細明體" w:hAnsi="細明體" w:cs="細明體"/>
          <w:color w:val="231F20"/>
          <w:spacing w:val="-9"/>
          <w:kern w:val="0"/>
          <w:sz w:val="21"/>
          <w:szCs w:val="21"/>
        </w:rPr>
        <w:t>」或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「修正後接受</w:t>
      </w:r>
      <w:r w:rsidRPr="00AB2C6D">
        <w:rPr>
          <w:rFonts w:ascii="細明體" w:eastAsia="細明體" w:hAnsi="細明體" w:cs="細明體"/>
          <w:color w:val="231F20"/>
          <w:spacing w:val="-9"/>
          <w:kern w:val="0"/>
          <w:sz w:val="21"/>
          <w:szCs w:val="21"/>
        </w:rPr>
        <w:t>」</w:t>
      </w:r>
      <w:r w:rsidRPr="00AB2C6D">
        <w:rPr>
          <w:rFonts w:ascii="細明體" w:eastAsia="細明體" w:hAnsi="細明體" w:cs="細明體"/>
          <w:color w:val="231F20"/>
          <w:spacing w:val="-4"/>
          <w:kern w:val="0"/>
          <w:sz w:val="21"/>
          <w:szCs w:val="21"/>
        </w:rPr>
        <w:t>時，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除</w:t>
      </w:r>
      <w:r w:rsidRPr="00AB2C6D">
        <w:rPr>
          <w:rFonts w:ascii="細明體" w:eastAsia="細明體" w:hAnsi="細明體" w:cs="細明體"/>
          <w:color w:val="231F20"/>
          <w:spacing w:val="-2"/>
          <w:kern w:val="0"/>
          <w:sz w:val="21"/>
          <w:szCs w:val="21"/>
        </w:rPr>
        <w:t>讓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作者</w:t>
      </w:r>
      <w:r w:rsidRPr="00AB2C6D">
        <w:rPr>
          <w:rFonts w:ascii="細明體" w:eastAsia="細明體" w:hAnsi="細明體" w:cs="細明體"/>
          <w:color w:val="231F20"/>
          <w:spacing w:val="-9"/>
          <w:kern w:val="0"/>
          <w:sz w:val="21"/>
          <w:szCs w:val="21"/>
        </w:rPr>
        <w:t>對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「不宜接</w:t>
      </w:r>
    </w:p>
    <w:p w:rsidR="004026E9" w:rsidRPr="00AB2C6D" w:rsidRDefault="004026E9" w:rsidP="004026E9">
      <w:pPr>
        <w:spacing w:before="11" w:line="250" w:lineRule="auto"/>
        <w:jc w:val="both"/>
        <w:rPr>
          <w:rFonts w:ascii="細明體" w:eastAsia="細明體" w:hAnsi="細明體" w:cs="細明體"/>
          <w:kern w:val="0"/>
          <w:sz w:val="21"/>
          <w:szCs w:val="21"/>
        </w:rPr>
      </w:pP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受</w:t>
      </w:r>
      <w:r w:rsidRPr="00AB2C6D">
        <w:rPr>
          <w:rFonts w:ascii="細明體" w:eastAsia="細明體" w:hAnsi="細明體" w:cs="細明體"/>
          <w:color w:val="231F20"/>
          <w:spacing w:val="-20"/>
          <w:kern w:val="0"/>
          <w:sz w:val="21"/>
          <w:szCs w:val="21"/>
        </w:rPr>
        <w:t>」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之審查意見進行答覆</w:t>
      </w:r>
      <w:r w:rsidRPr="00AB2C6D">
        <w:rPr>
          <w:rFonts w:ascii="細明體" w:eastAsia="細明體" w:hAnsi="細明體" w:cs="細明體"/>
          <w:color w:val="231F20"/>
          <w:spacing w:val="-10"/>
          <w:kern w:val="0"/>
          <w:sz w:val="21"/>
          <w:szCs w:val="21"/>
        </w:rPr>
        <w:t>外，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將</w:t>
      </w:r>
      <w:proofErr w:type="gramStart"/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採</w:t>
      </w:r>
      <w:proofErr w:type="gramEnd"/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兩位正方評審意見予以刊</w:t>
      </w:r>
      <w:r w:rsidRPr="00AB2C6D">
        <w:rPr>
          <w:rFonts w:ascii="細明體" w:eastAsia="細明體" w:hAnsi="細明體" w:cs="細明體"/>
          <w:color w:val="231F20"/>
          <w:spacing w:val="-10"/>
          <w:kern w:val="0"/>
          <w:sz w:val="21"/>
          <w:szCs w:val="21"/>
        </w:rPr>
        <w:t>登；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如第三位評審之意 見為「不宜接受」，本刊將</w:t>
      </w:r>
      <w:proofErr w:type="gramStart"/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採兩位負方</w:t>
      </w:r>
      <w:proofErr w:type="gramEnd"/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評審意見，予以退稿；若為「修正後再審」 則將由主編依三位評審審查意見內容評斷應予</w:t>
      </w:r>
      <w:r w:rsidRPr="00AB2C6D">
        <w:rPr>
          <w:rFonts w:ascii="細明體" w:eastAsia="細明體" w:hAnsi="細明體" w:cs="細明體"/>
          <w:color w:val="231F20"/>
          <w:spacing w:val="-80"/>
          <w:kern w:val="0"/>
          <w:sz w:val="21"/>
          <w:szCs w:val="21"/>
        </w:rPr>
        <w:t>以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「退稿</w:t>
      </w:r>
      <w:r w:rsidRPr="00AB2C6D">
        <w:rPr>
          <w:rFonts w:ascii="細明體" w:eastAsia="細明體" w:hAnsi="細明體" w:cs="細明體"/>
          <w:color w:val="231F20"/>
          <w:spacing w:val="-80"/>
          <w:kern w:val="0"/>
          <w:sz w:val="21"/>
          <w:szCs w:val="21"/>
        </w:rPr>
        <w:t>」</w:t>
      </w:r>
      <w:r w:rsidRPr="00AB2C6D">
        <w:rPr>
          <w:rFonts w:ascii="細明體" w:eastAsia="細明體" w:hAnsi="細明體" w:cs="細明體"/>
          <w:color w:val="231F20"/>
          <w:spacing w:val="-81"/>
          <w:kern w:val="0"/>
          <w:sz w:val="21"/>
          <w:szCs w:val="21"/>
        </w:rPr>
        <w:t>或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「寄回修</w:t>
      </w:r>
      <w:r w:rsidRPr="00AB2C6D">
        <w:rPr>
          <w:rFonts w:ascii="細明體" w:eastAsia="細明體" w:hAnsi="細明體" w:cs="細明體"/>
          <w:color w:val="231F20"/>
          <w:spacing w:val="-40"/>
          <w:kern w:val="0"/>
          <w:sz w:val="21"/>
          <w:szCs w:val="21"/>
        </w:rPr>
        <w:t>改</w:t>
      </w:r>
      <w:r w:rsidRPr="00AB2C6D">
        <w:rPr>
          <w:rFonts w:ascii="細明體" w:eastAsia="細明體" w:hAnsi="細明體" w:cs="細明體"/>
          <w:color w:val="231F20"/>
          <w:spacing w:val="-41"/>
          <w:kern w:val="0"/>
          <w:sz w:val="21"/>
          <w:szCs w:val="21"/>
        </w:rPr>
        <w:t>，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再行</w:t>
      </w:r>
      <w:proofErr w:type="gramStart"/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複</w:t>
      </w:r>
      <w:proofErr w:type="gramEnd"/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審</w:t>
      </w:r>
      <w:r w:rsidRPr="00AB2C6D">
        <w:rPr>
          <w:rFonts w:ascii="細明體" w:eastAsia="細明體" w:hAnsi="細明體" w:cs="細明體"/>
          <w:color w:val="231F20"/>
          <w:spacing w:val="-106"/>
          <w:kern w:val="0"/>
          <w:sz w:val="21"/>
          <w:szCs w:val="21"/>
        </w:rPr>
        <w:t>」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。</w:t>
      </w:r>
    </w:p>
    <w:p w:rsidR="004026E9" w:rsidRPr="00AB2C6D" w:rsidRDefault="004026E9" w:rsidP="004026E9">
      <w:pPr>
        <w:spacing w:before="54" w:line="248" w:lineRule="auto"/>
        <w:ind w:hanging="316"/>
        <w:jc w:val="both"/>
        <w:rPr>
          <w:rFonts w:ascii="細明體" w:eastAsia="細明體" w:hAnsi="細明體" w:cs="細明體"/>
          <w:kern w:val="0"/>
          <w:sz w:val="21"/>
          <w:szCs w:val="21"/>
        </w:rPr>
      </w:pPr>
      <w:r w:rsidRPr="00AB2C6D">
        <w:rPr>
          <w:rFonts w:ascii="Times New Roman" w:eastAsia="Times New Roman" w:hAnsi="Times New Roman" w:cs="Times New Roman"/>
          <w:color w:val="231F20"/>
          <w:kern w:val="0"/>
          <w:sz w:val="21"/>
          <w:szCs w:val="21"/>
        </w:rPr>
        <w:t>**</w:t>
      </w:r>
      <w:r w:rsidRPr="00AB2C6D">
        <w:rPr>
          <w:rFonts w:ascii="Times New Roman" w:eastAsia="Times New Roman" w:hAnsi="Times New Roman" w:cs="Times New Roman"/>
          <w:color w:val="231F20"/>
          <w:spacing w:val="50"/>
          <w:kern w:val="0"/>
          <w:sz w:val="21"/>
          <w:szCs w:val="21"/>
        </w:rPr>
        <w:t xml:space="preserve"> 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第三位評審之意見</w:t>
      </w:r>
      <w:r w:rsidRPr="00AB2C6D">
        <w:rPr>
          <w:rFonts w:ascii="細明體" w:eastAsia="細明體" w:hAnsi="細明體" w:cs="細明體"/>
          <w:color w:val="231F20"/>
          <w:spacing w:val="-2"/>
          <w:kern w:val="0"/>
          <w:sz w:val="21"/>
          <w:szCs w:val="21"/>
        </w:rPr>
        <w:t>，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如</w:t>
      </w:r>
      <w:r w:rsidRPr="00AB2C6D">
        <w:rPr>
          <w:rFonts w:ascii="細明體" w:eastAsia="細明體" w:hAnsi="細明體" w:cs="細明體"/>
          <w:color w:val="231F20"/>
          <w:spacing w:val="-2"/>
          <w:kern w:val="0"/>
          <w:sz w:val="21"/>
          <w:szCs w:val="21"/>
        </w:rPr>
        <w:t>為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「接受</w:t>
      </w:r>
      <w:r w:rsidRPr="00AB2C6D">
        <w:rPr>
          <w:rFonts w:ascii="細明體" w:eastAsia="細明體" w:hAnsi="細明體" w:cs="細明體"/>
          <w:color w:val="231F20"/>
          <w:spacing w:val="-2"/>
          <w:kern w:val="0"/>
          <w:sz w:val="21"/>
          <w:szCs w:val="21"/>
        </w:rPr>
        <w:t>」或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「修</w:t>
      </w:r>
      <w:r w:rsidRPr="00AB2C6D">
        <w:rPr>
          <w:rFonts w:ascii="細明體" w:eastAsia="細明體" w:hAnsi="細明體" w:cs="細明體"/>
          <w:color w:val="231F20"/>
          <w:spacing w:val="-2"/>
          <w:kern w:val="0"/>
          <w:sz w:val="21"/>
          <w:szCs w:val="21"/>
        </w:rPr>
        <w:t>正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後接受</w:t>
      </w:r>
      <w:r w:rsidRPr="00AB2C6D">
        <w:rPr>
          <w:rFonts w:ascii="細明體" w:eastAsia="細明體" w:hAnsi="細明體" w:cs="細明體"/>
          <w:color w:val="231F20"/>
          <w:spacing w:val="-3"/>
          <w:kern w:val="0"/>
          <w:sz w:val="21"/>
          <w:szCs w:val="21"/>
        </w:rPr>
        <w:t>」</w:t>
      </w:r>
      <w:r w:rsidRPr="00AB2C6D">
        <w:rPr>
          <w:rFonts w:ascii="細明體" w:eastAsia="細明體" w:hAnsi="細明體" w:cs="細明體"/>
          <w:color w:val="231F20"/>
          <w:spacing w:val="-2"/>
          <w:kern w:val="0"/>
          <w:sz w:val="21"/>
          <w:szCs w:val="21"/>
        </w:rPr>
        <w:t>，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將寄回修</w:t>
      </w:r>
      <w:r w:rsidRPr="00AB2C6D">
        <w:rPr>
          <w:rFonts w:ascii="細明體" w:eastAsia="細明體" w:hAnsi="細明體" w:cs="細明體"/>
          <w:color w:val="231F20"/>
          <w:spacing w:val="-2"/>
          <w:kern w:val="0"/>
          <w:sz w:val="21"/>
          <w:szCs w:val="21"/>
        </w:rPr>
        <w:t>改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，再行</w:t>
      </w:r>
      <w:proofErr w:type="gramStart"/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複</w:t>
      </w:r>
      <w:proofErr w:type="gramEnd"/>
      <w:r w:rsidRPr="00AB2C6D">
        <w:rPr>
          <w:rFonts w:ascii="細明體" w:eastAsia="細明體" w:hAnsi="細明體" w:cs="細明體"/>
          <w:color w:val="231F20"/>
          <w:spacing w:val="-2"/>
          <w:kern w:val="0"/>
          <w:sz w:val="21"/>
          <w:szCs w:val="21"/>
        </w:rPr>
        <w:t>審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 xml:space="preserve">；如 </w:t>
      </w:r>
      <w:r w:rsidRPr="00AB2C6D">
        <w:rPr>
          <w:rFonts w:ascii="細明體" w:eastAsia="細明體" w:hAnsi="細明體" w:cs="細明體"/>
          <w:color w:val="231F20"/>
          <w:spacing w:val="-3"/>
          <w:kern w:val="0"/>
          <w:sz w:val="21"/>
          <w:szCs w:val="21"/>
        </w:rPr>
        <w:t>為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「修正後再審</w:t>
      </w:r>
      <w:r w:rsidRPr="00AB2C6D">
        <w:rPr>
          <w:rFonts w:ascii="細明體" w:eastAsia="細明體" w:hAnsi="細明體" w:cs="細明體"/>
          <w:color w:val="231F20"/>
          <w:spacing w:val="-3"/>
          <w:kern w:val="0"/>
          <w:sz w:val="21"/>
          <w:szCs w:val="21"/>
        </w:rPr>
        <w:t>」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則將由主編依三位評審審查意見內容評斷應予</w:t>
      </w:r>
      <w:r w:rsidRPr="00AB2C6D">
        <w:rPr>
          <w:rFonts w:ascii="細明體" w:eastAsia="細明體" w:hAnsi="細明體" w:cs="細明體"/>
          <w:color w:val="231F20"/>
          <w:spacing w:val="-3"/>
          <w:kern w:val="0"/>
          <w:sz w:val="21"/>
          <w:szCs w:val="21"/>
        </w:rPr>
        <w:t>以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「退稿</w:t>
      </w:r>
      <w:r w:rsidRPr="00AB2C6D">
        <w:rPr>
          <w:rFonts w:ascii="細明體" w:eastAsia="細明體" w:hAnsi="細明體" w:cs="細明體"/>
          <w:color w:val="231F20"/>
          <w:spacing w:val="-3"/>
          <w:kern w:val="0"/>
          <w:sz w:val="21"/>
          <w:szCs w:val="21"/>
        </w:rPr>
        <w:t>」或</w:t>
      </w:r>
      <w:r w:rsidRPr="00AB2C6D">
        <w:rPr>
          <w:rFonts w:ascii="細明體" w:eastAsia="細明體" w:hAnsi="細明體" w:cs="細明體"/>
          <w:color w:val="231F20"/>
          <w:spacing w:val="-2"/>
          <w:kern w:val="0"/>
          <w:sz w:val="21"/>
          <w:szCs w:val="21"/>
        </w:rPr>
        <w:t>「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寄 回修改再行</w:t>
      </w:r>
      <w:proofErr w:type="gramStart"/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複</w:t>
      </w:r>
      <w:proofErr w:type="gramEnd"/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審」；若為「不宜接受」，</w:t>
      </w:r>
      <w:proofErr w:type="gramStart"/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本刊將予以</w:t>
      </w:r>
      <w:proofErr w:type="gramEnd"/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退稿。</w:t>
      </w:r>
    </w:p>
    <w:p w:rsidR="004026E9" w:rsidRPr="00AB2C6D" w:rsidRDefault="004026E9" w:rsidP="004026E9">
      <w:pPr>
        <w:spacing w:before="7" w:line="247" w:lineRule="auto"/>
        <w:ind w:hanging="210"/>
        <w:jc w:val="both"/>
        <w:rPr>
          <w:rFonts w:ascii="細明體" w:eastAsia="細明體" w:hAnsi="細明體" w:cs="細明體"/>
          <w:kern w:val="0"/>
          <w:sz w:val="21"/>
          <w:szCs w:val="21"/>
        </w:rPr>
      </w:pPr>
      <w:r w:rsidRPr="00AB2C6D">
        <w:rPr>
          <w:rFonts w:ascii="Times New Roman" w:eastAsia="Times New Roman" w:hAnsi="Times New Roman" w:cs="Times New Roman"/>
          <w:color w:val="231F20"/>
          <w:kern w:val="0"/>
          <w:sz w:val="21"/>
          <w:szCs w:val="21"/>
        </w:rPr>
        <w:t>5</w:t>
      </w:r>
      <w:r w:rsidRPr="00AB2C6D">
        <w:rPr>
          <w:rFonts w:ascii="Times New Roman" w:eastAsia="Times New Roman" w:hAnsi="Times New Roman" w:cs="Times New Roman"/>
          <w:color w:val="231F20"/>
          <w:spacing w:val="-1"/>
          <w:kern w:val="0"/>
          <w:sz w:val="21"/>
          <w:szCs w:val="21"/>
        </w:rPr>
        <w:t>.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是否刊登文件，事關投稿人權益，</w:t>
      </w:r>
      <w:proofErr w:type="gramStart"/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本刊將針對</w:t>
      </w:r>
      <w:proofErr w:type="gramEnd"/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審查意見及結果函送投稿人，並說明處理 方式。</w:t>
      </w:r>
    </w:p>
    <w:p w:rsidR="004026E9" w:rsidRDefault="004026E9" w:rsidP="004026E9">
      <w:pPr>
        <w:spacing w:before="7" w:line="248" w:lineRule="auto"/>
        <w:ind w:hanging="1"/>
        <w:rPr>
          <w:rFonts w:ascii="Times New Roman" w:eastAsia="Times New Roman" w:hAnsi="Times New Roman" w:cs="Times New Roman"/>
          <w:color w:val="231F20"/>
          <w:kern w:val="0"/>
          <w:sz w:val="21"/>
          <w:szCs w:val="21"/>
        </w:rPr>
      </w:pP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四、稿件請寄至學會秘書處</w:t>
      </w:r>
      <w:r w:rsidRPr="00AB2C6D">
        <w:rPr>
          <w:rFonts w:ascii="細明體" w:eastAsia="細明體" w:hAnsi="細明體" w:cs="細明體"/>
          <w:color w:val="231F20"/>
          <w:spacing w:val="1"/>
          <w:kern w:val="0"/>
          <w:sz w:val="21"/>
          <w:szCs w:val="21"/>
        </w:rPr>
        <w:t>：</w:t>
      </w:r>
      <w:hyperlink r:id="rId4">
        <w:r w:rsidRPr="00AB2C6D">
          <w:rPr>
            <w:rFonts w:ascii="Times New Roman" w:eastAsia="Times New Roman" w:hAnsi="Times New Roman" w:cs="Times New Roman"/>
            <w:color w:val="231F20"/>
            <w:spacing w:val="-1"/>
            <w:kern w:val="0"/>
            <w:sz w:val="21"/>
            <w:szCs w:val="21"/>
          </w:rPr>
          <w:t>t</w:t>
        </w:r>
        <w:r w:rsidRPr="00AB2C6D">
          <w:rPr>
            <w:rFonts w:ascii="Times New Roman" w:eastAsia="Times New Roman" w:hAnsi="Times New Roman" w:cs="Times New Roman"/>
            <w:color w:val="231F20"/>
            <w:kern w:val="0"/>
            <w:sz w:val="21"/>
            <w:szCs w:val="21"/>
          </w:rPr>
          <w:t>la</w:t>
        </w:r>
        <w:r w:rsidRPr="00AB2C6D">
          <w:rPr>
            <w:rFonts w:ascii="Times New Roman" w:eastAsia="Times New Roman" w:hAnsi="Times New Roman" w:cs="Times New Roman"/>
            <w:color w:val="231F20"/>
            <w:spacing w:val="-1"/>
            <w:kern w:val="0"/>
            <w:sz w:val="21"/>
            <w:szCs w:val="21"/>
          </w:rPr>
          <w:t>a</w:t>
        </w:r>
        <w:r w:rsidRPr="00AB2C6D">
          <w:rPr>
            <w:rFonts w:ascii="Times New Roman" w:eastAsia="Times New Roman" w:hAnsi="Times New Roman" w:cs="Times New Roman"/>
            <w:color w:val="231F20"/>
            <w:kern w:val="0"/>
            <w:sz w:val="21"/>
            <w:szCs w:val="21"/>
          </w:rPr>
          <w:t>9</w:t>
        </w:r>
        <w:r w:rsidRPr="00AB2C6D">
          <w:rPr>
            <w:rFonts w:ascii="Times New Roman" w:eastAsia="Times New Roman" w:hAnsi="Times New Roman" w:cs="Times New Roman"/>
            <w:color w:val="231F20"/>
            <w:spacing w:val="-1"/>
            <w:kern w:val="0"/>
            <w:sz w:val="21"/>
            <w:szCs w:val="21"/>
          </w:rPr>
          <w:t>2</w:t>
        </w:r>
        <w:r w:rsidRPr="00AB2C6D">
          <w:rPr>
            <w:rFonts w:ascii="Times New Roman" w:eastAsia="Times New Roman" w:hAnsi="Times New Roman" w:cs="Times New Roman"/>
            <w:color w:val="231F20"/>
            <w:kern w:val="0"/>
            <w:sz w:val="21"/>
            <w:szCs w:val="21"/>
          </w:rPr>
          <w:t>10@</w:t>
        </w:r>
        <w:r w:rsidRPr="00AB2C6D">
          <w:rPr>
            <w:rFonts w:ascii="Times New Roman" w:eastAsia="Times New Roman" w:hAnsi="Times New Roman" w:cs="Times New Roman"/>
            <w:color w:val="231F20"/>
            <w:spacing w:val="-1"/>
            <w:kern w:val="0"/>
            <w:sz w:val="21"/>
            <w:szCs w:val="21"/>
          </w:rPr>
          <w:t>y</w:t>
        </w:r>
        <w:r w:rsidRPr="00AB2C6D">
          <w:rPr>
            <w:rFonts w:ascii="Times New Roman" w:eastAsia="Times New Roman" w:hAnsi="Times New Roman" w:cs="Times New Roman"/>
            <w:color w:val="231F20"/>
            <w:kern w:val="0"/>
            <w:sz w:val="21"/>
            <w:szCs w:val="21"/>
          </w:rPr>
          <w:t>a</w:t>
        </w:r>
        <w:r w:rsidRPr="00AB2C6D">
          <w:rPr>
            <w:rFonts w:ascii="Times New Roman" w:eastAsia="Times New Roman" w:hAnsi="Times New Roman" w:cs="Times New Roman"/>
            <w:color w:val="231F20"/>
            <w:spacing w:val="-1"/>
            <w:kern w:val="0"/>
            <w:sz w:val="21"/>
            <w:szCs w:val="21"/>
          </w:rPr>
          <w:t>h</w:t>
        </w:r>
        <w:r w:rsidRPr="00AB2C6D">
          <w:rPr>
            <w:rFonts w:ascii="Times New Roman" w:eastAsia="Times New Roman" w:hAnsi="Times New Roman" w:cs="Times New Roman"/>
            <w:color w:val="231F20"/>
            <w:kern w:val="0"/>
            <w:sz w:val="21"/>
            <w:szCs w:val="21"/>
          </w:rPr>
          <w:t>oo</w:t>
        </w:r>
        <w:r w:rsidRPr="00AB2C6D">
          <w:rPr>
            <w:rFonts w:ascii="Times New Roman" w:eastAsia="Times New Roman" w:hAnsi="Times New Roman" w:cs="Times New Roman"/>
            <w:color w:val="231F20"/>
            <w:spacing w:val="-1"/>
            <w:kern w:val="0"/>
            <w:sz w:val="21"/>
            <w:szCs w:val="21"/>
          </w:rPr>
          <w:t>.</w:t>
        </w:r>
        <w:r w:rsidRPr="00AB2C6D">
          <w:rPr>
            <w:rFonts w:ascii="Times New Roman" w:eastAsia="Times New Roman" w:hAnsi="Times New Roman" w:cs="Times New Roman"/>
            <w:color w:val="231F20"/>
            <w:kern w:val="0"/>
            <w:sz w:val="21"/>
            <w:szCs w:val="21"/>
          </w:rPr>
          <w:t>c</w:t>
        </w:r>
        <w:r w:rsidRPr="00AB2C6D">
          <w:rPr>
            <w:rFonts w:ascii="Times New Roman" w:eastAsia="Times New Roman" w:hAnsi="Times New Roman" w:cs="Times New Roman"/>
            <w:color w:val="231F20"/>
            <w:spacing w:val="-1"/>
            <w:kern w:val="0"/>
            <w:sz w:val="21"/>
            <w:szCs w:val="21"/>
          </w:rPr>
          <w:t>o</w:t>
        </w:r>
        <w:r w:rsidRPr="00AB2C6D">
          <w:rPr>
            <w:rFonts w:ascii="Times New Roman" w:eastAsia="Times New Roman" w:hAnsi="Times New Roman" w:cs="Times New Roman"/>
            <w:color w:val="231F20"/>
            <w:spacing w:val="-2"/>
            <w:kern w:val="0"/>
            <w:sz w:val="21"/>
            <w:szCs w:val="21"/>
          </w:rPr>
          <w:t>m</w:t>
        </w:r>
        <w:r w:rsidRPr="00AB2C6D">
          <w:rPr>
            <w:rFonts w:ascii="Times New Roman" w:eastAsia="Times New Roman" w:hAnsi="Times New Roman" w:cs="Times New Roman"/>
            <w:color w:val="231F20"/>
            <w:kern w:val="0"/>
            <w:sz w:val="21"/>
            <w:szCs w:val="21"/>
          </w:rPr>
          <w:t>.tw</w:t>
        </w:r>
      </w:hyperlink>
      <w:r w:rsidRPr="00AB2C6D">
        <w:rPr>
          <w:rFonts w:ascii="Times New Roman" w:eastAsia="Times New Roman" w:hAnsi="Times New Roman" w:cs="Times New Roman"/>
          <w:color w:val="231F20"/>
          <w:kern w:val="0"/>
          <w:sz w:val="21"/>
          <w:szCs w:val="21"/>
        </w:rPr>
        <w:t xml:space="preserve"> </w:t>
      </w:r>
    </w:p>
    <w:p w:rsidR="004026E9" w:rsidRPr="00AB2C6D" w:rsidRDefault="004026E9" w:rsidP="004026E9">
      <w:pPr>
        <w:spacing w:before="7" w:line="248" w:lineRule="auto"/>
        <w:ind w:hanging="1"/>
        <w:rPr>
          <w:rFonts w:ascii="細明體" w:eastAsia="細明體" w:hAnsi="細明體" w:cs="細明體"/>
          <w:kern w:val="0"/>
          <w:sz w:val="21"/>
          <w:szCs w:val="21"/>
        </w:rPr>
      </w:pP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五、稿約格式</w:t>
      </w:r>
    </w:p>
    <w:p w:rsidR="004026E9" w:rsidRPr="00AB2C6D" w:rsidRDefault="004026E9" w:rsidP="004026E9">
      <w:pPr>
        <w:spacing w:before="6" w:line="248" w:lineRule="auto"/>
        <w:ind w:hanging="210"/>
        <w:jc w:val="both"/>
        <w:rPr>
          <w:rFonts w:ascii="細明體" w:eastAsia="細明體" w:hAnsi="細明體" w:cs="細明體"/>
          <w:color w:val="231F20"/>
          <w:kern w:val="0"/>
          <w:sz w:val="21"/>
          <w:szCs w:val="21"/>
        </w:rPr>
      </w:pPr>
      <w:r w:rsidRPr="00AB2C6D">
        <w:rPr>
          <w:rFonts w:ascii="Times New Roman" w:eastAsia="Times New Roman" w:hAnsi="Times New Roman" w:cs="Times New Roman"/>
          <w:color w:val="231F20"/>
          <w:kern w:val="0"/>
          <w:sz w:val="21"/>
          <w:szCs w:val="21"/>
        </w:rPr>
        <w:t>1</w:t>
      </w:r>
      <w:r w:rsidRPr="00AB2C6D">
        <w:rPr>
          <w:rFonts w:ascii="Times New Roman" w:eastAsia="Times New Roman" w:hAnsi="Times New Roman" w:cs="Times New Roman"/>
          <w:color w:val="231F20"/>
          <w:spacing w:val="-1"/>
          <w:kern w:val="0"/>
          <w:sz w:val="21"/>
          <w:szCs w:val="21"/>
        </w:rPr>
        <w:t>.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 xml:space="preserve"> 本刊接受中文或英文之稿件，來稿裝訂順序：首頁、摘要頁、正文、附錄、參考文獻及 </w:t>
      </w:r>
      <w:proofErr w:type="gramStart"/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尾</w:t>
      </w:r>
      <w:r w:rsidRPr="00AB2C6D">
        <w:rPr>
          <w:rFonts w:ascii="細明體" w:eastAsia="細明體" w:hAnsi="細明體" w:cs="細明體"/>
          <w:color w:val="231F20"/>
          <w:spacing w:val="1"/>
          <w:kern w:val="0"/>
          <w:sz w:val="21"/>
          <w:szCs w:val="21"/>
        </w:rPr>
        <w:t>頁</w:t>
      </w:r>
      <w:proofErr w:type="gramEnd"/>
      <w:r w:rsidRPr="00AB2C6D">
        <w:rPr>
          <w:rFonts w:ascii="Times New Roman" w:eastAsia="Times New Roman" w:hAnsi="Times New Roman" w:cs="Times New Roman"/>
          <w:color w:val="231F20"/>
          <w:spacing w:val="-2"/>
          <w:kern w:val="0"/>
          <w:sz w:val="21"/>
          <w:szCs w:val="21"/>
        </w:rPr>
        <w:t>(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即首頁和摘要頁的翻</w:t>
      </w:r>
      <w:r w:rsidRPr="00AB2C6D">
        <w:rPr>
          <w:rFonts w:ascii="細明體" w:eastAsia="細明體" w:hAnsi="細明體" w:cs="細明體"/>
          <w:color w:val="231F20"/>
          <w:spacing w:val="1"/>
          <w:kern w:val="0"/>
          <w:sz w:val="21"/>
          <w:szCs w:val="21"/>
        </w:rPr>
        <w:t>譯</w:t>
      </w:r>
      <w:r w:rsidRPr="00AB2C6D">
        <w:rPr>
          <w:rFonts w:ascii="Times New Roman" w:eastAsia="Times New Roman" w:hAnsi="Times New Roman" w:cs="Times New Roman"/>
          <w:color w:val="231F20"/>
          <w:spacing w:val="-2"/>
          <w:kern w:val="0"/>
          <w:sz w:val="21"/>
          <w:szCs w:val="21"/>
        </w:rPr>
        <w:t>)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。來稿須於封面頁註明所有作者之真實姓名、通訊地址、電話、</w:t>
      </w:r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lastRenderedPageBreak/>
        <w:t>傳真號碼、e-mail 帳號、目前服務機關及職稱，</w:t>
      </w:r>
      <w:proofErr w:type="gramStart"/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俾</w:t>
      </w:r>
      <w:proofErr w:type="gramEnd"/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供介紹聯繫之用。除</w:t>
      </w:r>
      <w:proofErr w:type="gramStart"/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封面頁外</w:t>
      </w:r>
      <w:proofErr w:type="gramEnd"/>
      <w:r w:rsidRPr="00AB2C6D">
        <w:rPr>
          <w:rFonts w:ascii="細明體" w:eastAsia="細明體" w:hAnsi="細明體" w:cs="細明體"/>
          <w:color w:val="231F20"/>
          <w:kern w:val="0"/>
          <w:sz w:val="21"/>
          <w:szCs w:val="21"/>
        </w:rPr>
        <w:t>，請勿於論文 任何其他部分出現可辨認作者身份的文字，以利匿名審查。</w:t>
      </w:r>
    </w:p>
    <w:p w:rsidR="004026E9" w:rsidRPr="00AB2C6D" w:rsidRDefault="004026E9" w:rsidP="004026E9">
      <w:pPr>
        <w:spacing w:before="6" w:line="248" w:lineRule="auto"/>
        <w:ind w:hanging="210"/>
        <w:jc w:val="both"/>
        <w:rPr>
          <w:rFonts w:ascii="Times New Roman" w:eastAsia="Times New Roman" w:hAnsi="Times New Roman" w:cs="Times New Roman"/>
          <w:color w:val="231F20"/>
          <w:kern w:val="0"/>
          <w:sz w:val="21"/>
          <w:szCs w:val="21"/>
        </w:rPr>
      </w:pPr>
      <w:r w:rsidRPr="00AB2C6D">
        <w:rPr>
          <w:rFonts w:asciiTheme="minorEastAsia" w:hAnsiTheme="minorEastAsia" w:cs="Times New Roman"/>
          <w:color w:val="231F20"/>
          <w:kern w:val="0"/>
          <w:sz w:val="21"/>
          <w:szCs w:val="21"/>
        </w:rPr>
        <w:t xml:space="preserve">2. </w:t>
      </w:r>
      <w:r w:rsidR="00054D25" w:rsidRPr="00054D25">
        <w:rPr>
          <w:rFonts w:ascii="細明體" w:eastAsia="細明體" w:hAnsi="細明體" w:cs="細明體"/>
          <w:color w:val="231F20"/>
          <w:kern w:val="0"/>
          <w:sz w:val="21"/>
          <w:szCs w:val="21"/>
        </w:rPr>
        <w:t>本</w:t>
      </w:r>
      <w:proofErr w:type="gramStart"/>
      <w:r w:rsidR="00054D25" w:rsidRPr="00054D25">
        <w:rPr>
          <w:rFonts w:ascii="細明體" w:eastAsia="細明體" w:hAnsi="細明體" w:cs="細明體"/>
          <w:color w:val="231F20"/>
          <w:kern w:val="0"/>
          <w:sz w:val="21"/>
          <w:szCs w:val="21"/>
        </w:rPr>
        <w:t>學刊統一採</w:t>
      </w:r>
      <w:proofErr w:type="gramEnd"/>
      <w:r w:rsidR="00054D25" w:rsidRPr="00054D25">
        <w:rPr>
          <w:rFonts w:ascii="細明體" w:eastAsia="細明體" w:hAnsi="細明體" w:cs="細明體"/>
          <w:color w:val="231F20"/>
          <w:kern w:val="0"/>
          <w:sz w:val="21"/>
          <w:szCs w:val="21"/>
        </w:rPr>
        <w:t xml:space="preserve"> APA 文稿規格，除非本文另有規定，其他格式請一律遵循採用， 未及</w:t>
      </w:r>
      <w:proofErr w:type="gramStart"/>
      <w:r w:rsidR="00054D25" w:rsidRPr="00054D25">
        <w:rPr>
          <w:rFonts w:ascii="細明體" w:eastAsia="細明體" w:hAnsi="細明體" w:cs="細明體"/>
          <w:color w:val="231F20"/>
          <w:kern w:val="0"/>
          <w:sz w:val="21"/>
          <w:szCs w:val="21"/>
        </w:rPr>
        <w:t>列明者</w:t>
      </w:r>
      <w:proofErr w:type="gramEnd"/>
      <w:r w:rsidR="00054D25" w:rsidRPr="00054D25">
        <w:rPr>
          <w:rFonts w:ascii="細明體" w:eastAsia="細明體" w:hAnsi="細明體" w:cs="細明體"/>
          <w:color w:val="231F20"/>
          <w:kern w:val="0"/>
          <w:sz w:val="21"/>
          <w:szCs w:val="21"/>
        </w:rPr>
        <w:t xml:space="preserve">，請參見《美國心理學會出版手冊(第六版)》(Publication Manual of the American Psychological Association, 6 </w:t>
      </w:r>
      <w:proofErr w:type="spellStart"/>
      <w:r w:rsidR="00054D25" w:rsidRPr="00054D25">
        <w:rPr>
          <w:rFonts w:ascii="細明體" w:eastAsia="細明體" w:hAnsi="細明體" w:cs="細明體"/>
          <w:color w:val="231F20"/>
          <w:kern w:val="0"/>
          <w:sz w:val="21"/>
          <w:szCs w:val="21"/>
        </w:rPr>
        <w:t>th</w:t>
      </w:r>
      <w:proofErr w:type="spellEnd"/>
      <w:r w:rsidR="00054D25" w:rsidRPr="00054D25">
        <w:rPr>
          <w:rFonts w:ascii="細明體" w:eastAsia="細明體" w:hAnsi="細明體" w:cs="細明體"/>
          <w:color w:val="231F20"/>
          <w:kern w:val="0"/>
          <w:sz w:val="21"/>
          <w:szCs w:val="21"/>
        </w:rPr>
        <w:t xml:space="preserve"> ed.)。</w:t>
      </w:r>
    </w:p>
    <w:p w:rsidR="00F25013" w:rsidRPr="004026E9" w:rsidRDefault="00F25013">
      <w:bookmarkStart w:id="0" w:name="_GoBack"/>
      <w:bookmarkEnd w:id="0"/>
    </w:p>
    <w:sectPr w:rsidR="00F25013" w:rsidRPr="004026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E9"/>
    <w:rsid w:val="00054D25"/>
    <w:rsid w:val="001557FA"/>
    <w:rsid w:val="004026E9"/>
    <w:rsid w:val="00F2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51426-2A88-4468-85D7-28C7A247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6E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laa9210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2018-01-26T07:30:00Z</dcterms:created>
  <dcterms:modified xsi:type="dcterms:W3CDTF">2018-01-26T07:30:00Z</dcterms:modified>
</cp:coreProperties>
</file>